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</w:rPr>
        <w:t>Leuchtturm ARD steht für:</w:t>
      </w:r>
    </w:p>
    <w:p>
      <w:pPr>
        <w:pStyle w:val="Normal"/>
        <w:rPr>
          <w:rFonts w:ascii="PT Sans" w:hAnsi="PT Sans"/>
          <w:b/>
          <w:b/>
          <w:bCs/>
          <w:sz w:val="30"/>
          <w:szCs w:val="30"/>
        </w:rPr>
      </w:pPr>
      <w:r>
        <w:rPr>
          <w:rFonts w:ascii="PT Sans" w:hAnsi="PT Sans"/>
          <w:b/>
          <w:bCs/>
          <w:sz w:val="30"/>
          <w:szCs w:val="30"/>
        </w:rPr>
        <w:t>Leuchtturm ARBEITSGEMEINSCHAFT REDLICHER DISKURS</w:t>
      </w:r>
    </w:p>
    <w:p>
      <w:pPr>
        <w:pStyle w:val="Normal"/>
        <w:rPr>
          <w:rFonts w:ascii="PT Sans" w:hAnsi="PT Sans"/>
          <w:b/>
          <w:b/>
          <w:bCs/>
          <w:sz w:val="30"/>
          <w:szCs w:val="30"/>
        </w:rPr>
      </w:pPr>
      <w:r>
        <w:rPr>
          <w:rFonts w:ascii="PT Sans" w:hAnsi="PT Sans"/>
          <w:b/>
          <w:bCs/>
          <w:sz w:val="30"/>
          <w:szCs w:val="30"/>
        </w:rPr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Wir fordern die Einhaltung der bestehenden Regeln der Vierten Säule der Gewaltenteilung.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- Multipolarität, Ausgewogenheit und Staatsferne in der journalistischen Arbeit,       laut Vorgaben des Medienstaatsvertrages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- Die 16 Regeln des Pressekodex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- Das Zensurverbot laut Artikel 5 des Grundgesetzes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- Pressefreiheit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- Meinungsfreiheit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  <w:t>Wir dokumentieren und analysieren systematische Verletzungen dieser Regeln in sachlicher und akademisch belegbarer Art und Weise.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rFonts w:ascii="PT Sans" w:hAnsi="PT Sans"/>
          <w:b w:val="false"/>
          <w:bCs w:val="false"/>
          <w:sz w:val="28"/>
          <w:szCs w:val="28"/>
        </w:rPr>
        <w:t xml:space="preserve">Wir suchen den Dialog auf Augenhöhe und den offenen Diskurs über diese Thematik mit allen Beteiligten der Vierten Säule, weil wir die Mechanismen </w:t>
      </w:r>
      <w:r>
        <w:rPr>
          <w:rFonts w:eastAsia="Calibri" w:cs="" w:ascii="PT Sans" w:hAnsi="PT Sans" w:cstheme="minorBidi" w:eastAsiaTheme="minorHAnsi"/>
          <w:b w:val="false"/>
          <w:bCs w:val="false"/>
          <w:color w:val="auto"/>
          <w:kern w:val="0"/>
          <w:sz w:val="28"/>
          <w:szCs w:val="28"/>
          <w:lang w:val="de-DE" w:eastAsia="en-US" w:bidi="ar-SA"/>
        </w:rPr>
        <w:t>erkennen</w:t>
      </w:r>
      <w:r>
        <w:rPr>
          <w:rFonts w:ascii="PT Sans" w:hAnsi="PT Sans"/>
          <w:b w:val="false"/>
          <w:bCs w:val="false"/>
          <w:sz w:val="28"/>
          <w:szCs w:val="28"/>
        </w:rPr>
        <w:t>, die zur Verletzung dieser bestehenden Regeln führen können.</w:t>
        <w:br/>
        <w:br/>
      </w:r>
      <w:r>
        <w:rPr>
          <w:rFonts w:ascii="PT Sans" w:hAnsi="PT Sans"/>
          <w:b w:val="false"/>
          <w:bCs w:val="false"/>
          <w:sz w:val="28"/>
          <w:szCs w:val="28"/>
        </w:rPr>
        <w:t xml:space="preserve">Wir organisieren einen legalen Zahlungsstopp der Rundfunkbeiträge, aufgrund eklatanter Verletzungen des Medienstaatsvertrages. Jedoch sind wir klare Befürworter der Beibehaltung der Beitragspflicht, sofern die Einhaltung des Medienstaatsvertrages gewährleistet ist. </w:t>
      </w:r>
      <w:r>
        <w:rPr>
          <w:rFonts w:ascii="PT Sans" w:hAnsi="PT Sans"/>
          <w:b w:val="false"/>
          <w:bCs w:val="false"/>
          <w:sz w:val="28"/>
          <w:szCs w:val="28"/>
        </w:rPr>
        <w:t>Ein ausgewogener und staatsferner ÖRR ist Grundpfeiler einer funktionierenden Demokratie.</w:t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</w:r>
    </w:p>
    <w:p>
      <w:pPr>
        <w:pStyle w:val="Normal"/>
        <w:rPr>
          <w:rFonts w:ascii="PT Sans" w:hAnsi="PT Sans"/>
          <w:b w:val="false"/>
          <w:b w:val="false"/>
          <w:bCs w:val="false"/>
          <w:sz w:val="28"/>
          <w:szCs w:val="28"/>
        </w:rPr>
      </w:pPr>
      <w:r>
        <w:rPr>
          <w:rFonts w:ascii="PT Sans" w:hAnsi="PT Sans"/>
          <w:b w:val="false"/>
          <w:bCs w:val="false"/>
          <w:sz w:val="28"/>
          <w:szCs w:val="28"/>
        </w:rPr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  <w:b w:val="false"/>
          <w:bCs w:val="false"/>
          <w:sz w:val="28"/>
          <w:szCs w:val="28"/>
        </w:rPr>
        <w:t>Verantwortlich:</w:t>
        <w:br/>
      </w:r>
      <w:r>
        <w:rPr>
          <w:rFonts w:ascii="PT Sans" w:hAnsi="PT Sans"/>
          <w:b/>
          <w:bCs/>
          <w:sz w:val="28"/>
          <w:szCs w:val="28"/>
        </w:rPr>
        <w:t>Jimmy C. Gerum</w:t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  <w:b w:val="false"/>
          <w:bCs w:val="false"/>
          <w:sz w:val="28"/>
          <w:szCs w:val="28"/>
        </w:rPr>
        <w:t>info@LeuchtturmARD.de</w:t>
      </w:r>
    </w:p>
    <w:p>
      <w:pPr>
        <w:pStyle w:val="Normal"/>
        <w:rPr>
          <w:rFonts w:ascii="PT Sans" w:hAnsi="PT Sans"/>
        </w:rPr>
      </w:pPr>
      <w:r>
        <w:rPr>
          <w:rFonts w:ascii="PT Sans" w:hAnsi="PT Sans"/>
          <w:b w:val="false"/>
          <w:bCs w:val="false"/>
          <w:sz w:val="28"/>
          <w:szCs w:val="28"/>
        </w:rPr>
        <w:t>Tel. 0151-5055 2062</w:t>
      </w:r>
    </w:p>
    <w:p>
      <w:pPr>
        <w:pStyle w:val="Normal"/>
        <w:rPr>
          <w:rFonts w:ascii="PT Sans" w:hAnsi="PT Sans"/>
          <w:b/>
          <w:b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</w:r>
    </w:p>
    <w:p>
      <w:pPr>
        <w:pStyle w:val="Normal"/>
        <w:tabs>
          <w:tab w:val="clear" w:pos="708"/>
          <w:tab w:val="left" w:pos="3480" w:leader="none"/>
        </w:tabs>
        <w:rPr>
          <w:rFonts w:ascii="PT Sans" w:hAnsi="PT Sans"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TabletGothic">
    <w:charset w:val="00"/>
    <w:family w:val="roman"/>
    <w:pitch w:val="variable"/>
  </w:font>
  <w:font w:name="FranklinGothic-Book">
    <w:charset w:val="00"/>
    <w:family w:val="roman"/>
    <w:pitch w:val="variable"/>
  </w:font>
  <w:font w:name="PT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-874395</wp:posOffset>
          </wp:positionH>
          <wp:positionV relativeFrom="paragraph">
            <wp:posOffset>635</wp:posOffset>
          </wp:positionV>
          <wp:extent cx="7568565" cy="10706100"/>
          <wp:effectExtent l="0" t="0" r="0" b="0"/>
          <wp:wrapNone/>
          <wp:docPr id="1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533" w:leader="none"/>
      </w:tabs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-874395</wp:posOffset>
          </wp:positionH>
          <wp:positionV relativeFrom="page">
            <wp:posOffset>10756900</wp:posOffset>
          </wp:positionV>
          <wp:extent cx="7497445" cy="0"/>
          <wp:effectExtent l="0" t="0" r="0" b="0"/>
          <wp:wrapNone/>
          <wp:docPr id="2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7445" cy="-66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-966470</wp:posOffset>
          </wp:positionH>
          <wp:positionV relativeFrom="margin">
            <wp:posOffset>-925195</wp:posOffset>
          </wp:positionV>
          <wp:extent cx="7601585" cy="10717530"/>
          <wp:effectExtent l="0" t="0" r="0" b="0"/>
          <wp:wrapNone/>
          <wp:docPr id="3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1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f153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9582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9582e"/>
    <w:rPr/>
  </w:style>
  <w:style w:type="character" w:styleId="Internetverknpfung">
    <w:name w:val="Internetverknüpfung"/>
    <w:basedOn w:val="DefaultParagraphFont"/>
    <w:uiPriority w:val="99"/>
    <w:unhideWhenUsed/>
    <w:rsid w:val="00857904"/>
    <w:rPr>
      <w:color w:val="0563C1" w:themeColor="hyperlink"/>
      <w:u w:val="single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85790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b4338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9582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59582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KeinAbsatzformat" w:customStyle="1">
    <w:name w:val="[Kein Absatzformat]"/>
    <w:qFormat/>
    <w:rsid w:val="0059582e"/>
    <w:pPr>
      <w:widowControl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Calibri"/>
      <w:color w:val="000000"/>
      <w:kern w:val="0"/>
      <w:sz w:val="24"/>
      <w:szCs w:val="24"/>
      <w:lang w:val="de-DE" w:eastAsia="en-US" w:bidi="ar-SA"/>
    </w:rPr>
  </w:style>
  <w:style w:type="paragraph" w:styleId="BrotTG10" w:customStyle="1">
    <w:name w:val="Brot TG 10"/>
    <w:basedOn w:val="Normal"/>
    <w:uiPriority w:val="99"/>
    <w:qFormat/>
    <w:rsid w:val="0059582e"/>
    <w:pPr>
      <w:widowControl w:val="false"/>
      <w:suppressAutoHyphens w:val="true"/>
      <w:spacing w:lineRule="atLeast" w:line="294"/>
      <w:jc w:val="both"/>
      <w:textAlignment w:val="center"/>
    </w:pPr>
    <w:rPr>
      <w:rFonts w:ascii="TabletGothic" w:hAnsi="TabletGothic" w:cs="TabletGothic"/>
      <w:color w:val="000000"/>
      <w:sz w:val="21"/>
      <w:szCs w:val="21"/>
    </w:rPr>
  </w:style>
  <w:style w:type="paragraph" w:styleId="FranklinwechselnderText" w:customStyle="1">
    <w:name w:val="Franklin_wechselnder Text"/>
    <w:basedOn w:val="Normal"/>
    <w:uiPriority w:val="99"/>
    <w:qFormat/>
    <w:rsid w:val="00a55393"/>
    <w:pPr>
      <w:widowControl w:val="false"/>
      <w:spacing w:lineRule="atLeast" w:line="240"/>
      <w:textAlignment w:val="baseline"/>
    </w:pPr>
    <w:rPr>
      <w:rFonts w:ascii="FranklinGothic-Book" w:hAnsi="FranklinGothic-Book" w:cs="FranklinGothic-Book"/>
      <w:color w:val="000000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b43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ene1 xmlns="28aabd9b-37f6-4b10-9cb3-1c63a4681194">Unzugeordnet</Eben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CC066F0E9134C817F5F45D1417D97" ma:contentTypeVersion="13" ma:contentTypeDescription="Ein neues Dokument erstellen." ma:contentTypeScope="" ma:versionID="c22a5704eef1823bbe4d7a9fe07be127">
  <xsd:schema xmlns:xsd="http://www.w3.org/2001/XMLSchema" xmlns:xs="http://www.w3.org/2001/XMLSchema" xmlns:p="http://schemas.microsoft.com/office/2006/metadata/properties" xmlns:ns2="28aabd9b-37f6-4b10-9cb3-1c63a4681194" xmlns:ns3="d5fd81b7-c306-48ff-8a8a-a573841a4fc2" targetNamespace="http://schemas.microsoft.com/office/2006/metadata/properties" ma:root="true" ma:fieldsID="e12f1edbadedd51e5b46e8b00cb6f1f7" ns2:_="" ns3:_="">
    <xsd:import namespace="28aabd9b-37f6-4b10-9cb3-1c63a4681194"/>
    <xsd:import namespace="d5fd81b7-c306-48ff-8a8a-a573841a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bene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bd9b-37f6-4b10-9cb3-1c63a4681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bene1" ma:index="10" nillable="true" ma:displayName="Ebene1" ma:default="Unzugeordnet" ma:format="Dropdown" ma:internalName="Ebene1">
      <xsd:simpleType>
        <xsd:restriction base="dms:Choice">
          <xsd:enumeration value="Unzugeordnet"/>
          <xsd:enumeration value="Ordneretiketten"/>
          <xsd:enumeration value="Trennblätter"/>
          <xsd:enumeration value="Ordnerbeschriftungen"/>
          <xsd:enumeration value="Ordnerübersicht"/>
          <xsd:enumeration value="Trennlaschen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81b7-c306-48ff-8a8a-a573841a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347CD7-37A5-4984-9BCF-C83770FBB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7AA10-EE0C-4B93-8328-6503688F443E}">
  <ds:schemaRefs>
    <ds:schemaRef ds:uri="http://schemas.microsoft.com/office/2006/metadata/properties"/>
    <ds:schemaRef ds:uri="http://schemas.microsoft.com/office/infopath/2007/PartnerControls"/>
    <ds:schemaRef ds:uri="28aabd9b-37f6-4b10-9cb3-1c63a4681194"/>
  </ds:schemaRefs>
</ds:datastoreItem>
</file>

<file path=customXml/itemProps3.xml><?xml version="1.0" encoding="utf-8"?>
<ds:datastoreItem xmlns:ds="http://schemas.openxmlformats.org/officeDocument/2006/customXml" ds:itemID="{DFFEE07E-991A-4295-800B-AF9584CF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abd9b-37f6-4b10-9cb3-1c63a4681194"/>
    <ds:schemaRef ds:uri="d5fd81b7-c306-48ff-8a8a-a573841a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33CF7-F643-44B9-8FF3-E3D55E4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Vorlage-lt-briefpapier.dotx</Template>
  <TotalTime>3</TotalTime>
  <Application>LibreOffice/7.0.1.2$Windows_X86_64 LibreOffice_project/7cbcfc562f6eb6708b5ff7d7397325de9e764452</Application>
  <Pages>1</Pages>
  <Words>145</Words>
  <Characters>1035</Characters>
  <CharactersWithSpaces>1175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2022-08-25T10:44:54Z</dcterms:created>
  <dc:creator/>
  <dc:description/>
  <dc:language>de-DE</dc:language>
  <cp:lastModifiedBy/>
  <cp:lastPrinted>2021-04-28T09:32:00Z</cp:lastPrinted>
  <dcterms:modified xsi:type="dcterms:W3CDTF">2022-08-25T10:48:48Z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0x0101004D7CC066F0E9134C817F5F45D1417D97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949200</vt:i4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